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CD" w:rsidRDefault="00DB4A18" w:rsidP="00DB4A18">
      <w:pPr>
        <w:spacing w:line="360" w:lineRule="auto"/>
      </w:pPr>
      <w:r>
        <w:t>For immediate release</w:t>
      </w:r>
    </w:p>
    <w:p w:rsidR="004F373E" w:rsidRDefault="00D05BED" w:rsidP="00DB4A18">
      <w:pPr>
        <w:spacing w:line="360" w:lineRule="auto"/>
      </w:pPr>
      <w:r>
        <w:t xml:space="preserve">April </w:t>
      </w:r>
      <w:r w:rsidR="004F373E">
        <w:t>2011</w:t>
      </w:r>
    </w:p>
    <w:p w:rsidR="00D05BED" w:rsidRDefault="00D05BED" w:rsidP="00D05BED">
      <w:pPr>
        <w:spacing w:line="360" w:lineRule="auto"/>
        <w:rPr>
          <w:rFonts w:cs="Arial"/>
          <w:b/>
          <w:bCs/>
          <w:sz w:val="32"/>
          <w:szCs w:val="32"/>
        </w:rPr>
      </w:pPr>
      <w:r w:rsidRPr="00D05BED">
        <w:rPr>
          <w:rFonts w:cs="Arial"/>
          <w:b/>
          <w:bCs/>
          <w:sz w:val="32"/>
          <w:szCs w:val="32"/>
        </w:rPr>
        <w:t>Efficiently using the sun's energy</w:t>
      </w:r>
    </w:p>
    <w:p w:rsidR="00D05BED" w:rsidRPr="00D05BED" w:rsidRDefault="00D05BED" w:rsidP="00D05BED">
      <w:pPr>
        <w:spacing w:line="360" w:lineRule="auto"/>
        <w:rPr>
          <w:rFonts w:cs="Arial"/>
          <w:b/>
          <w:bCs/>
          <w:sz w:val="22"/>
          <w:szCs w:val="22"/>
        </w:rPr>
      </w:pPr>
      <w:r w:rsidRPr="00D05BED">
        <w:rPr>
          <w:rFonts w:cs="Arial"/>
          <w:b/>
          <w:bCs/>
          <w:sz w:val="22"/>
          <w:szCs w:val="22"/>
        </w:rPr>
        <w:t xml:space="preserve">Efficient use of solar energy to generate commercial and industrial power has long been a desired goal.  Environmental concerns, government targets, and the increasing cost of traditional fuels </w:t>
      </w:r>
      <w:proofErr w:type="gramStart"/>
      <w:r w:rsidRPr="00D05BED">
        <w:rPr>
          <w:rFonts w:cs="Arial"/>
          <w:b/>
          <w:bCs/>
          <w:sz w:val="22"/>
          <w:szCs w:val="22"/>
        </w:rPr>
        <w:t>has</w:t>
      </w:r>
      <w:proofErr w:type="gramEnd"/>
      <w:r w:rsidRPr="00D05BED">
        <w:rPr>
          <w:rFonts w:cs="Arial"/>
          <w:b/>
          <w:bCs/>
          <w:sz w:val="22"/>
          <w:szCs w:val="22"/>
        </w:rPr>
        <w:t xml:space="preserve"> generated more research and potential product opportunities in recent years. Whilst a multitude of novel materials (such as CuIn1-xGaxSe2 and </w:t>
      </w:r>
      <w:proofErr w:type="spellStart"/>
      <w:r w:rsidRPr="00D05BED">
        <w:rPr>
          <w:rFonts w:cs="Arial"/>
          <w:b/>
          <w:bCs/>
          <w:sz w:val="22"/>
          <w:szCs w:val="22"/>
        </w:rPr>
        <w:t>CdTe</w:t>
      </w:r>
      <w:proofErr w:type="spellEnd"/>
      <w:r w:rsidRPr="00D05BED">
        <w:rPr>
          <w:rFonts w:cs="Arial"/>
          <w:b/>
          <w:bCs/>
          <w:sz w:val="22"/>
          <w:szCs w:val="22"/>
        </w:rPr>
        <w:t>) are being researched and improved, silicon based materials still lead the industry because of their high efficiency and abundance of raw material.</w:t>
      </w:r>
    </w:p>
    <w:p w:rsidR="00D05BED" w:rsidRPr="00D05BED" w:rsidRDefault="00D05BED" w:rsidP="00D05BED">
      <w:pPr>
        <w:spacing w:line="360" w:lineRule="auto"/>
        <w:rPr>
          <w:rFonts w:cs="Arial"/>
          <w:bCs/>
          <w:sz w:val="22"/>
          <w:szCs w:val="22"/>
        </w:rPr>
      </w:pPr>
      <w:r w:rsidRPr="00D05BED">
        <w:rPr>
          <w:rFonts w:cs="Arial"/>
          <w:bCs/>
          <w:sz w:val="22"/>
          <w:szCs w:val="22"/>
        </w:rPr>
        <w:t>The high initial energy demands and costs of manufacturing single crystal silicon solar cells reduces the commercial appeal of this material and has resulted in the development of amorphous and polycrystalline variants. Although these aren't as efficient as single crystals, they require significantly less energy to fabricate and still have excellent efficiency when compared to other materials. The compromise between manufacturing effort and cell efficiency is critically important to ensure modules are commercially viable and practical to produce. Optimising cell efficiency, and understanding the parameters that affect efficiency during fabrication, are critical for manufacturers.</w:t>
      </w:r>
    </w:p>
    <w:p w:rsidR="00D05BED" w:rsidRPr="00D05BED" w:rsidRDefault="00D05BED" w:rsidP="00D05BED">
      <w:pPr>
        <w:spacing w:line="360" w:lineRule="auto"/>
        <w:rPr>
          <w:rFonts w:cs="Arial"/>
          <w:bCs/>
          <w:sz w:val="22"/>
          <w:szCs w:val="22"/>
        </w:rPr>
      </w:pPr>
      <w:r w:rsidRPr="00D05BED">
        <w:rPr>
          <w:rFonts w:cs="Arial"/>
          <w:bCs/>
          <w:sz w:val="22"/>
          <w:szCs w:val="22"/>
        </w:rPr>
        <w:t xml:space="preserve">Polycrystalline silicon cells consist of a series of multiple domains with different crystal orientations. Where a larger number of small domains are present, the efficiency of these cells is reduced, due to the large number of boundaries between the domains. The Raman image above shows how </w:t>
      </w:r>
      <w:proofErr w:type="spellStart"/>
      <w:r w:rsidRPr="00D05BED">
        <w:rPr>
          <w:rFonts w:cs="Arial"/>
          <w:bCs/>
          <w:sz w:val="22"/>
          <w:szCs w:val="22"/>
        </w:rPr>
        <w:t>StreamLine</w:t>
      </w:r>
      <w:proofErr w:type="spellEnd"/>
      <w:r w:rsidRPr="00D05BED">
        <w:rPr>
          <w:rFonts w:cs="Arial"/>
          <w:bCs/>
          <w:sz w:val="22"/>
          <w:szCs w:val="22"/>
        </w:rPr>
        <w:t xml:space="preserve"> imaging can be used to identify the different domains: we then use this information to quantify the boundary distance. The ability to sample data over very large areas, seamlessly, in minutes, makes </w:t>
      </w:r>
      <w:proofErr w:type="spellStart"/>
      <w:r w:rsidRPr="00D05BED">
        <w:rPr>
          <w:rFonts w:cs="Arial"/>
          <w:bCs/>
          <w:sz w:val="22"/>
          <w:szCs w:val="22"/>
        </w:rPr>
        <w:t>StreamLine</w:t>
      </w:r>
      <w:proofErr w:type="spellEnd"/>
      <w:r w:rsidRPr="00D05BED">
        <w:rPr>
          <w:rFonts w:cs="Arial"/>
          <w:bCs/>
          <w:sz w:val="22"/>
          <w:szCs w:val="22"/>
        </w:rPr>
        <w:t xml:space="preserve"> imaging the ideal method for rapidly surveying these cell modules.</w:t>
      </w:r>
    </w:p>
    <w:p w:rsidR="00D05BED" w:rsidRPr="00D05BED" w:rsidRDefault="00D05BED" w:rsidP="00D05BED">
      <w:pPr>
        <w:spacing w:line="360" w:lineRule="auto"/>
        <w:rPr>
          <w:rFonts w:cs="Arial"/>
          <w:bCs/>
          <w:sz w:val="22"/>
          <w:szCs w:val="22"/>
        </w:rPr>
      </w:pPr>
      <w:r w:rsidRPr="00D05BED">
        <w:rPr>
          <w:rFonts w:cs="Arial"/>
          <w:bCs/>
          <w:sz w:val="22"/>
          <w:szCs w:val="22"/>
        </w:rPr>
        <w:t xml:space="preserve">Where high spatial resolution images are required (for example, to determine inter-domain variations and the affect of domain boundaries on device stresses), </w:t>
      </w:r>
      <w:proofErr w:type="spellStart"/>
      <w:r w:rsidRPr="00D05BED">
        <w:rPr>
          <w:rFonts w:cs="Arial"/>
          <w:bCs/>
          <w:sz w:val="22"/>
          <w:szCs w:val="22"/>
        </w:rPr>
        <w:t>StreamLine's</w:t>
      </w:r>
      <w:proofErr w:type="spellEnd"/>
      <w:r w:rsidRPr="00D05BED">
        <w:rPr>
          <w:rFonts w:cs="Arial"/>
          <w:bCs/>
          <w:sz w:val="22"/>
          <w:szCs w:val="22"/>
        </w:rPr>
        <w:t xml:space="preserve"> high resolution imaging is the method of choice. This method enables users to acquire information-rich images on the sub micrometre scale. Renishaw also provides systems for on-line solar panel inspection for quality assurance applications during manufacture.</w:t>
      </w:r>
    </w:p>
    <w:p w:rsidR="00D05BED" w:rsidRPr="00D05BED" w:rsidRDefault="00D05BED" w:rsidP="00D05BED">
      <w:pPr>
        <w:spacing w:line="360" w:lineRule="auto"/>
        <w:rPr>
          <w:rFonts w:cs="Arial"/>
          <w:bCs/>
          <w:sz w:val="22"/>
          <w:szCs w:val="22"/>
        </w:rPr>
      </w:pPr>
      <w:proofErr w:type="spellStart"/>
      <w:r w:rsidRPr="00D05BED">
        <w:rPr>
          <w:rFonts w:cs="Arial"/>
          <w:bCs/>
          <w:sz w:val="22"/>
          <w:szCs w:val="22"/>
        </w:rPr>
        <w:lastRenderedPageBreak/>
        <w:t>Renishaw's</w:t>
      </w:r>
      <w:proofErr w:type="spellEnd"/>
      <w:r w:rsidRPr="00D05BED">
        <w:rPr>
          <w:rFonts w:cs="Arial"/>
          <w:bCs/>
          <w:sz w:val="22"/>
          <w:szCs w:val="22"/>
        </w:rPr>
        <w:t xml:space="preserve"> Raman systems therefore provide the full suite of Raman capabilities that researchers and manufacturers need. This enables a complete understanding of the sample characteristics and morphology on the m</w:t>
      </w:r>
      <w:r w:rsidR="00860941">
        <w:rPr>
          <w:rFonts w:cs="Arial"/>
          <w:bCs/>
          <w:sz w:val="22"/>
          <w:szCs w:val="22"/>
        </w:rPr>
        <w:t>a</w:t>
      </w:r>
      <w:r w:rsidRPr="00D05BED">
        <w:rPr>
          <w:rFonts w:cs="Arial"/>
          <w:bCs/>
          <w:sz w:val="22"/>
          <w:szCs w:val="22"/>
        </w:rPr>
        <w:t>cro</w:t>
      </w:r>
      <w:r w:rsidR="00860941">
        <w:rPr>
          <w:rFonts w:cs="Arial"/>
          <w:bCs/>
          <w:sz w:val="22"/>
          <w:szCs w:val="22"/>
        </w:rPr>
        <w:t>-</w:t>
      </w:r>
      <w:r w:rsidRPr="00D05BED">
        <w:rPr>
          <w:rFonts w:cs="Arial"/>
          <w:bCs/>
          <w:sz w:val="22"/>
          <w:szCs w:val="22"/>
        </w:rPr>
        <w:t xml:space="preserve"> and micro</w:t>
      </w:r>
      <w:r w:rsidR="00860941">
        <w:rPr>
          <w:rFonts w:cs="Arial"/>
          <w:bCs/>
          <w:sz w:val="22"/>
          <w:szCs w:val="22"/>
        </w:rPr>
        <w:t>-</w:t>
      </w:r>
      <w:r w:rsidRPr="00D05BED">
        <w:rPr>
          <w:rFonts w:cs="Arial"/>
          <w:bCs/>
          <w:sz w:val="22"/>
          <w:szCs w:val="22"/>
        </w:rPr>
        <w:t xml:space="preserve"> scale, whether in the laboratory or on the production line.</w:t>
      </w:r>
    </w:p>
    <w:p w:rsidR="00D05BED" w:rsidRPr="00D05BED" w:rsidRDefault="00D05BED" w:rsidP="00D05BED">
      <w:pPr>
        <w:spacing w:line="360" w:lineRule="auto"/>
        <w:rPr>
          <w:rFonts w:cs="Arial"/>
          <w:bCs/>
          <w:sz w:val="22"/>
          <w:szCs w:val="22"/>
        </w:rPr>
      </w:pPr>
      <w:r w:rsidRPr="00D05BED">
        <w:rPr>
          <w:rFonts w:cs="Arial"/>
          <w:bCs/>
          <w:sz w:val="22"/>
          <w:szCs w:val="22"/>
        </w:rPr>
        <w:t>For further information on Raman Spectroscopy visit www.renishaw.com/raman</w:t>
      </w:r>
    </w:p>
    <w:p w:rsidR="00D05BED" w:rsidRDefault="00D05BED" w:rsidP="00DB24C2">
      <w:pPr>
        <w:spacing w:line="360" w:lineRule="auto"/>
        <w:jc w:val="center"/>
        <w:rPr>
          <w:rFonts w:cs="Arial"/>
          <w:b/>
        </w:rPr>
      </w:pPr>
    </w:p>
    <w:p w:rsidR="00D05BED" w:rsidRDefault="00D05BED" w:rsidP="00DB24C2">
      <w:pPr>
        <w:spacing w:line="360" w:lineRule="auto"/>
        <w:jc w:val="center"/>
        <w:rPr>
          <w:rFonts w:cs="Arial"/>
          <w:b/>
        </w:rPr>
      </w:pPr>
    </w:p>
    <w:p w:rsidR="00792A42" w:rsidRDefault="00232E4B" w:rsidP="00D05BED">
      <w:pPr>
        <w:spacing w:line="360" w:lineRule="auto"/>
        <w:jc w:val="center"/>
      </w:pPr>
      <w:r>
        <w:rPr>
          <w:rFonts w:cs="Arial"/>
          <w:b/>
        </w:rPr>
        <w:t>Ends</w:t>
      </w:r>
    </w:p>
    <w:p w:rsidR="00792A42" w:rsidRDefault="00792A42" w:rsidP="00A4158E">
      <w:pPr>
        <w:spacing w:line="240" w:lineRule="auto"/>
      </w:pPr>
    </w:p>
    <w:p w:rsidR="00232E4B" w:rsidRDefault="00232E4B" w:rsidP="00A4158E">
      <w:pPr>
        <w:spacing w:line="240" w:lineRule="auto"/>
      </w:pPr>
    </w:p>
    <w:p w:rsidR="00B146A2" w:rsidRDefault="00A4158E" w:rsidP="00A4158E">
      <w:pPr>
        <w:spacing w:line="240" w:lineRule="auto"/>
      </w:pPr>
      <w:r>
        <w:t>For further information p</w:t>
      </w:r>
      <w:r w:rsidR="00B146A2">
        <w:t>lease contact:</w:t>
      </w:r>
    </w:p>
    <w:tbl>
      <w:tblPr>
        <w:tblW w:w="0" w:type="auto"/>
        <w:tblLook w:val="01E0"/>
      </w:tblPr>
      <w:tblGrid>
        <w:gridCol w:w="4646"/>
        <w:gridCol w:w="4646"/>
      </w:tblGrid>
      <w:tr w:rsidR="00CE09ED" w:rsidTr="004D1C02">
        <w:tc>
          <w:tcPr>
            <w:tcW w:w="4646" w:type="dxa"/>
          </w:tcPr>
          <w:p w:rsidR="00CE09ED" w:rsidRDefault="00DB1A44" w:rsidP="00A4158E">
            <w:pPr>
              <w:spacing w:line="240" w:lineRule="auto"/>
            </w:pPr>
            <w:r>
              <w:t xml:space="preserve">Viki </w:t>
            </w:r>
            <w:r w:rsidR="00DB4A18">
              <w:t>Wright</w:t>
            </w:r>
            <w:r w:rsidR="00CE09ED">
              <w:br/>
            </w:r>
            <w:r>
              <w:t>Marketing Communications Manager</w:t>
            </w:r>
            <w:r>
              <w:br/>
            </w:r>
            <w:r w:rsidR="00CE09ED">
              <w:t>Renishaw plc</w:t>
            </w:r>
            <w:r w:rsidR="00CE09ED">
              <w:br/>
              <w:t>Old Town</w:t>
            </w:r>
            <w:r w:rsidR="00CE09ED">
              <w:br/>
              <w:t>Wotton-under-Edge</w:t>
            </w:r>
            <w:r w:rsidR="00CE09ED">
              <w:br/>
              <w:t>Gloucestershire GL12 7DW UK</w:t>
            </w:r>
            <w:r w:rsidR="00CE09ED">
              <w:br/>
              <w:t>Tel: +44 1453 5238</w:t>
            </w:r>
            <w:r>
              <w:t>15</w:t>
            </w:r>
            <w:r w:rsidR="00CE09ED">
              <w:t xml:space="preserve"> (direct)</w:t>
            </w:r>
            <w:r w:rsidR="00CE09ED">
              <w:br/>
              <w:t>Tel: +44 1453 523800 (switchboard)</w:t>
            </w:r>
            <w:r w:rsidR="00CE09ED">
              <w:br/>
              <w:t>Fax: +44 1453 523901</w:t>
            </w:r>
            <w:r w:rsidR="00CE09ED">
              <w:br/>
              <w:t xml:space="preserve">Email: </w:t>
            </w:r>
            <w:hyperlink r:id="rId8" w:history="1">
              <w:r w:rsidR="00DB4A18" w:rsidRPr="002F555D">
                <w:rPr>
                  <w:rStyle w:val="Hyperlink"/>
                </w:rPr>
                <w:t>viki.wright@renishaw.com</w:t>
              </w:r>
            </w:hyperlink>
            <w:r w:rsidR="00CE09ED">
              <w:br/>
            </w:r>
            <w:hyperlink r:id="rId9" w:history="1">
              <w:r w:rsidR="00CE09ED" w:rsidRPr="00436A8F">
                <w:rPr>
                  <w:rStyle w:val="Hyperlink"/>
                </w:rPr>
                <w:t>www.renishaw.com/raman</w:t>
              </w:r>
            </w:hyperlink>
          </w:p>
        </w:tc>
        <w:tc>
          <w:tcPr>
            <w:tcW w:w="4646" w:type="dxa"/>
          </w:tcPr>
          <w:p w:rsidR="00CE09ED" w:rsidRPr="004D1C02" w:rsidRDefault="00CE09ED" w:rsidP="00A4158E">
            <w:pPr>
              <w:spacing w:line="240" w:lineRule="auto"/>
              <w:rPr>
                <w:color w:val="FF0000"/>
              </w:rPr>
            </w:pPr>
          </w:p>
        </w:tc>
      </w:tr>
    </w:tbl>
    <w:p w:rsidR="00CE09ED" w:rsidRDefault="00CE09ED" w:rsidP="00A4158E">
      <w:pPr>
        <w:spacing w:line="240" w:lineRule="auto"/>
      </w:pPr>
    </w:p>
    <w:sectPr w:rsidR="00CE09ED" w:rsidSect="00EE3706">
      <w:headerReference w:type="default" r:id="rId10"/>
      <w:headerReference w:type="first" r:id="rId11"/>
      <w:type w:val="continuous"/>
      <w:pgSz w:w="11906" w:h="16838" w:code="9"/>
      <w:pgMar w:top="2240" w:right="1418" w:bottom="1134" w:left="1412" w:header="1134"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44" w:rsidRDefault="00EC0544">
      <w:r>
        <w:separator/>
      </w:r>
    </w:p>
  </w:endnote>
  <w:endnote w:type="continuationSeparator" w:id="0">
    <w:p w:rsidR="00EC0544" w:rsidRDefault="00EC0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44" w:rsidRDefault="00EC0544">
      <w:r>
        <w:separator/>
      </w:r>
    </w:p>
  </w:footnote>
  <w:footnote w:type="continuationSeparator" w:id="0">
    <w:p w:rsidR="00EC0544" w:rsidRDefault="00EC0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20" w:rsidRDefault="00D84578">
    <w:pPr>
      <w:tabs>
        <w:tab w:val="left" w:pos="2552"/>
        <w:tab w:val="left" w:pos="3119"/>
      </w:tabs>
      <w:spacing w:before="0" w:after="0" w:line="240" w:lineRule="auto"/>
      <w:rPr>
        <w:sz w:val="24"/>
      </w:rPr>
    </w:pPr>
    <w:r>
      <w:rPr>
        <w:noProof/>
        <w:sz w:val="16"/>
      </w:rPr>
      <w:drawing>
        <wp:anchor distT="0" distB="0" distL="114300" distR="114300" simplePos="0" relativeHeight="251659264" behindDoc="0" locked="0" layoutInCell="0" allowOverlap="1">
          <wp:simplePos x="0" y="0"/>
          <wp:positionH relativeFrom="column">
            <wp:posOffset>4401820</wp:posOffset>
          </wp:positionH>
          <wp:positionV relativeFrom="paragraph">
            <wp:posOffset>-201930</wp:posOffset>
          </wp:positionV>
          <wp:extent cx="2218690" cy="82804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00E903C3" w:rsidRPr="00E903C3">
      <w:rPr>
        <w:noProof/>
        <w:sz w:val="16"/>
      </w:rPr>
      <w:pict>
        <v:line id="_x0000_s2052" style="position:absolute;z-index:251657216;mso-position-horizontal-relative:text;mso-position-vertical-relative:text" from="-49.6pt,.55pt" to="518.9pt,.55pt" o:allowincell="f" stroked="f"/>
      </w:pict>
    </w:r>
    <w:r w:rsidR="00F22B20">
      <w:rPr>
        <w:b/>
        <w:sz w:val="16"/>
      </w:rPr>
      <w:t>News from Renishaw</w:t>
    </w:r>
    <w:r w:rsidR="00F22B20">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20" w:rsidRDefault="00D84578">
    <w:pPr>
      <w:tabs>
        <w:tab w:val="left" w:pos="2552"/>
        <w:tab w:val="left" w:pos="3119"/>
      </w:tabs>
      <w:spacing w:before="0" w:after="0" w:line="240" w:lineRule="auto"/>
      <w:rPr>
        <w:sz w:val="16"/>
      </w:rPr>
    </w:pPr>
    <w:r>
      <w:rPr>
        <w:noProof/>
        <w:sz w:val="16"/>
      </w:rPr>
      <w:drawing>
        <wp:anchor distT="0" distB="0" distL="114300" distR="114300" simplePos="0" relativeHeight="251658240" behindDoc="0" locked="0" layoutInCell="0" allowOverlap="1">
          <wp:simplePos x="0" y="0"/>
          <wp:positionH relativeFrom="column">
            <wp:posOffset>4401820</wp:posOffset>
          </wp:positionH>
          <wp:positionV relativeFrom="paragraph">
            <wp:posOffset>-192405</wp:posOffset>
          </wp:positionV>
          <wp:extent cx="2218690" cy="8280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00E903C3">
      <w:rPr>
        <w:noProof/>
        <w:sz w:val="16"/>
      </w:rPr>
      <w:pict>
        <v:line id="_x0000_s2050" style="position:absolute;z-index:251656192;mso-position-horizontal-relative:text;mso-position-vertical-relative:text" from="-49.6pt,.55pt" to="518.9pt,.55pt" o:allowincell="f" stroked="f"/>
      </w:pict>
    </w:r>
    <w:r w:rsidR="00F22B20">
      <w:rPr>
        <w:b/>
        <w:sz w:val="16"/>
      </w:rPr>
      <w:t>Renishaw plc</w:t>
    </w:r>
  </w:p>
  <w:p w:rsidR="00F22B20" w:rsidRDefault="00F22B20">
    <w:pPr>
      <w:pStyle w:val="Header"/>
      <w:spacing w:before="0" w:after="0" w:line="240" w:lineRule="auto"/>
      <w:rPr>
        <w:sz w:val="16"/>
      </w:rPr>
    </w:pPr>
    <w:r>
      <w:rPr>
        <w:sz w:val="16"/>
      </w:rPr>
      <w:t>Spectroscopy Products Division</w:t>
    </w: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60" w:line="240" w:lineRule="auto"/>
      <w:rPr>
        <w:b/>
      </w:rPr>
    </w:pPr>
    <w:r>
      <w:rPr>
        <w:b/>
        <w:sz w:val="36"/>
      </w:rPr>
      <w:t>News from Renishaw</w:t>
    </w:r>
  </w:p>
  <w:p w:rsidR="00F22B20" w:rsidRDefault="00F22B20">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DD34BA"/>
    <w:multiLevelType w:val="hybridMultilevel"/>
    <w:tmpl w:val="6A3AB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F23AE9"/>
    <w:multiLevelType w:val="hybridMultilevel"/>
    <w:tmpl w:val="7220B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7C41C0"/>
    <w:multiLevelType w:val="singleLevel"/>
    <w:tmpl w:val="BBEA74C2"/>
    <w:lvl w:ilvl="0">
      <w:start w:val="1"/>
      <w:numFmt w:val="decimal"/>
      <w:lvlText w:val="%1."/>
      <w:lvlJc w:val="left"/>
      <w:pPr>
        <w:tabs>
          <w:tab w:val="num" w:pos="360"/>
        </w:tabs>
        <w:ind w:left="360" w:hanging="360"/>
      </w:pPr>
    </w:lvl>
  </w:abstractNum>
  <w:abstractNum w:abstractNumId="14">
    <w:nsid w:val="3DD0248A"/>
    <w:multiLevelType w:val="hybridMultilevel"/>
    <w:tmpl w:val="D9A67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747F2B"/>
    <w:multiLevelType w:val="hybridMultilevel"/>
    <w:tmpl w:val="42784A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00"/>
  <w:displayHorizontalDrawingGridEvery w:val="0"/>
  <w:displayVerticalDrawingGridEvery w:val="0"/>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4D58"/>
    <w:rsid w:val="00043400"/>
    <w:rsid w:val="000608A8"/>
    <w:rsid w:val="000978A8"/>
    <w:rsid w:val="000A1250"/>
    <w:rsid w:val="000C1EB6"/>
    <w:rsid w:val="000D64CE"/>
    <w:rsid w:val="00114075"/>
    <w:rsid w:val="00135B24"/>
    <w:rsid w:val="00147B8B"/>
    <w:rsid w:val="00173F93"/>
    <w:rsid w:val="00174470"/>
    <w:rsid w:val="00181298"/>
    <w:rsid w:val="00183991"/>
    <w:rsid w:val="001B048A"/>
    <w:rsid w:val="001B169C"/>
    <w:rsid w:val="001F0337"/>
    <w:rsid w:val="00211B03"/>
    <w:rsid w:val="00225C92"/>
    <w:rsid w:val="00232E4B"/>
    <w:rsid w:val="002425AB"/>
    <w:rsid w:val="00244F59"/>
    <w:rsid w:val="00274207"/>
    <w:rsid w:val="002813E2"/>
    <w:rsid w:val="00283E7C"/>
    <w:rsid w:val="002B122D"/>
    <w:rsid w:val="002B676A"/>
    <w:rsid w:val="002D60CC"/>
    <w:rsid w:val="003038A9"/>
    <w:rsid w:val="0031342A"/>
    <w:rsid w:val="00376C25"/>
    <w:rsid w:val="00376D0D"/>
    <w:rsid w:val="003A4674"/>
    <w:rsid w:val="003A6CBD"/>
    <w:rsid w:val="004966CA"/>
    <w:rsid w:val="004C3B00"/>
    <w:rsid w:val="004D1C02"/>
    <w:rsid w:val="004F373E"/>
    <w:rsid w:val="005113F2"/>
    <w:rsid w:val="005223BA"/>
    <w:rsid w:val="00522F4B"/>
    <w:rsid w:val="005B226F"/>
    <w:rsid w:val="005B689E"/>
    <w:rsid w:val="005F74E6"/>
    <w:rsid w:val="00604941"/>
    <w:rsid w:val="00610885"/>
    <w:rsid w:val="00624383"/>
    <w:rsid w:val="0063381B"/>
    <w:rsid w:val="00643C90"/>
    <w:rsid w:val="00683FC1"/>
    <w:rsid w:val="006955DD"/>
    <w:rsid w:val="006964B7"/>
    <w:rsid w:val="006E30D5"/>
    <w:rsid w:val="006E611D"/>
    <w:rsid w:val="007379DC"/>
    <w:rsid w:val="00751440"/>
    <w:rsid w:val="00792A42"/>
    <w:rsid w:val="007E1ED1"/>
    <w:rsid w:val="007E2927"/>
    <w:rsid w:val="008259A0"/>
    <w:rsid w:val="00860941"/>
    <w:rsid w:val="00886B58"/>
    <w:rsid w:val="008B54C8"/>
    <w:rsid w:val="008B7676"/>
    <w:rsid w:val="008C340D"/>
    <w:rsid w:val="008E19F9"/>
    <w:rsid w:val="008E79DE"/>
    <w:rsid w:val="00921006"/>
    <w:rsid w:val="00937BD1"/>
    <w:rsid w:val="00944227"/>
    <w:rsid w:val="00986D79"/>
    <w:rsid w:val="009963C0"/>
    <w:rsid w:val="009B055A"/>
    <w:rsid w:val="009B48BE"/>
    <w:rsid w:val="009C637C"/>
    <w:rsid w:val="009D2575"/>
    <w:rsid w:val="00A07EDA"/>
    <w:rsid w:val="00A4129B"/>
    <w:rsid w:val="00A4158E"/>
    <w:rsid w:val="00A42FE8"/>
    <w:rsid w:val="00A431AC"/>
    <w:rsid w:val="00A649E7"/>
    <w:rsid w:val="00A801C6"/>
    <w:rsid w:val="00A83C65"/>
    <w:rsid w:val="00A95097"/>
    <w:rsid w:val="00B146A2"/>
    <w:rsid w:val="00B33B6E"/>
    <w:rsid w:val="00B876D1"/>
    <w:rsid w:val="00BA0455"/>
    <w:rsid w:val="00BA0EDE"/>
    <w:rsid w:val="00BA10E2"/>
    <w:rsid w:val="00BA4837"/>
    <w:rsid w:val="00BD0CA7"/>
    <w:rsid w:val="00BE42AD"/>
    <w:rsid w:val="00BF083C"/>
    <w:rsid w:val="00C0703F"/>
    <w:rsid w:val="00C14844"/>
    <w:rsid w:val="00C30FDB"/>
    <w:rsid w:val="00C45BFA"/>
    <w:rsid w:val="00C567EA"/>
    <w:rsid w:val="00C672CD"/>
    <w:rsid w:val="00CA15D3"/>
    <w:rsid w:val="00CA2182"/>
    <w:rsid w:val="00CD23B8"/>
    <w:rsid w:val="00CE09ED"/>
    <w:rsid w:val="00CE1D7B"/>
    <w:rsid w:val="00D05BED"/>
    <w:rsid w:val="00D0610B"/>
    <w:rsid w:val="00D07847"/>
    <w:rsid w:val="00D23793"/>
    <w:rsid w:val="00D84578"/>
    <w:rsid w:val="00DB1A44"/>
    <w:rsid w:val="00DB24C2"/>
    <w:rsid w:val="00DB4A18"/>
    <w:rsid w:val="00DC3C2A"/>
    <w:rsid w:val="00DD1331"/>
    <w:rsid w:val="00E026FA"/>
    <w:rsid w:val="00E044D2"/>
    <w:rsid w:val="00E12D03"/>
    <w:rsid w:val="00E14156"/>
    <w:rsid w:val="00E45055"/>
    <w:rsid w:val="00E527C7"/>
    <w:rsid w:val="00E76D91"/>
    <w:rsid w:val="00E8077C"/>
    <w:rsid w:val="00E82882"/>
    <w:rsid w:val="00E903C3"/>
    <w:rsid w:val="00EA5EC2"/>
    <w:rsid w:val="00EC0544"/>
    <w:rsid w:val="00ED2305"/>
    <w:rsid w:val="00EE2F30"/>
    <w:rsid w:val="00EE3706"/>
    <w:rsid w:val="00F171E8"/>
    <w:rsid w:val="00F22B20"/>
    <w:rsid w:val="00F26C29"/>
    <w:rsid w:val="00F734E7"/>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674"/>
    <w:pPr>
      <w:spacing w:before="140" w:after="140" w:line="280" w:lineRule="exact"/>
    </w:pPr>
    <w:rPr>
      <w:rFonts w:ascii="Arial" w:hAnsi="Arial"/>
    </w:rPr>
  </w:style>
  <w:style w:type="paragraph" w:styleId="Heading1">
    <w:name w:val="heading 1"/>
    <w:basedOn w:val="Normal"/>
    <w:next w:val="Normal"/>
    <w:qFormat/>
    <w:rsid w:val="003A4674"/>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3A4674"/>
    <w:pPr>
      <w:keepNext/>
      <w:outlineLvl w:val="3"/>
    </w:pPr>
    <w:rPr>
      <w:u w:val="single"/>
    </w:rPr>
  </w:style>
  <w:style w:type="paragraph" w:styleId="Heading5">
    <w:name w:val="heading 5"/>
    <w:basedOn w:val="Normal"/>
    <w:next w:val="Normal"/>
    <w:qFormat/>
    <w:rsid w:val="003A4674"/>
    <w:pPr>
      <w:keepNext/>
      <w:outlineLvl w:val="4"/>
    </w:pPr>
    <w:rPr>
      <w:u w:val="single"/>
    </w:rPr>
  </w:style>
  <w:style w:type="paragraph" w:styleId="Heading6">
    <w:name w:val="heading 6"/>
    <w:basedOn w:val="Normal"/>
    <w:next w:val="Normal"/>
    <w:qFormat/>
    <w:rsid w:val="003A4674"/>
    <w:pPr>
      <w:keepNext/>
      <w:outlineLvl w:val="5"/>
    </w:pPr>
    <w:rPr>
      <w:b/>
      <w:u w:val="single"/>
    </w:rPr>
  </w:style>
  <w:style w:type="paragraph" w:styleId="Heading7">
    <w:name w:val="heading 7"/>
    <w:basedOn w:val="Normal"/>
    <w:next w:val="Normal"/>
    <w:qFormat/>
    <w:rsid w:val="003A4674"/>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674"/>
    <w:pPr>
      <w:tabs>
        <w:tab w:val="center" w:pos="4153"/>
        <w:tab w:val="right" w:pos="8306"/>
      </w:tabs>
    </w:pPr>
  </w:style>
  <w:style w:type="paragraph" w:styleId="Footer">
    <w:name w:val="footer"/>
    <w:basedOn w:val="FootnoteText"/>
    <w:link w:val="FooterChar"/>
    <w:uiPriority w:val="99"/>
    <w:rsid w:val="001F0337"/>
    <w:rPr>
      <w:sz w:val="18"/>
      <w:szCs w:val="18"/>
    </w:rPr>
  </w:style>
  <w:style w:type="character" w:styleId="Strong">
    <w:name w:val="Strong"/>
    <w:basedOn w:val="DefaultParagraphFont"/>
    <w:qFormat/>
    <w:rsid w:val="003A4674"/>
    <w:rPr>
      <w:b/>
    </w:rPr>
  </w:style>
  <w:style w:type="paragraph" w:customStyle="1" w:styleId="Header-Info">
    <w:name w:val="Header - Info"/>
    <w:basedOn w:val="Normal"/>
    <w:rsid w:val="003A4674"/>
    <w:pPr>
      <w:spacing w:before="0" w:after="0" w:line="240" w:lineRule="auto"/>
    </w:pPr>
    <w:rPr>
      <w:b/>
      <w:sz w:val="18"/>
    </w:rPr>
  </w:style>
  <w:style w:type="paragraph" w:customStyle="1" w:styleId="Header-Field">
    <w:name w:val="Header - Field"/>
    <w:basedOn w:val="Header-Info"/>
    <w:rsid w:val="003A4674"/>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uiPriority w:val="99"/>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C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1C02"/>
    <w:rPr>
      <w:rFonts w:ascii="Tahoma" w:hAnsi="Tahoma" w:cs="Tahoma"/>
      <w:sz w:val="16"/>
      <w:szCs w:val="16"/>
      <w:lang w:val="en-GB" w:eastAsia="en-GB"/>
    </w:rPr>
  </w:style>
  <w:style w:type="paragraph" w:styleId="NormalWeb">
    <w:name w:val="Normal (Web)"/>
    <w:basedOn w:val="Normal"/>
    <w:uiPriority w:val="99"/>
    <w:unhideWhenUsed/>
    <w:rsid w:val="00D05BE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rsid w:val="00D05BED"/>
    <w:rPr>
      <w:i/>
      <w:iCs/>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5920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i.wright@renish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ishaw.com/ra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FCA4-16AA-41E9-8CCC-EE17C4D4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StreamLine Plus press release</vt:lpstr>
    </vt:vector>
  </TitlesOfParts>
  <Company>Barneys</Company>
  <LinksUpToDate>false</LinksUpToDate>
  <CharactersWithSpaces>3015</CharactersWithSpaces>
  <SharedDoc>false</SharedDoc>
  <HLinks>
    <vt:vector size="18" baseType="variant">
      <vt:variant>
        <vt:i4>4915282</vt:i4>
      </vt:variant>
      <vt:variant>
        <vt:i4>6</vt:i4>
      </vt:variant>
      <vt:variant>
        <vt:i4>0</vt:i4>
      </vt:variant>
      <vt:variant>
        <vt:i4>5</vt:i4>
      </vt:variant>
      <vt:variant>
        <vt:lpwstr>http://www.renishaw.com/raman</vt:lpwstr>
      </vt:variant>
      <vt:variant>
        <vt:lpwstr/>
      </vt:variant>
      <vt:variant>
        <vt:i4>8323084</vt:i4>
      </vt:variant>
      <vt:variant>
        <vt:i4>3</vt:i4>
      </vt:variant>
      <vt:variant>
        <vt:i4>0</vt:i4>
      </vt:variant>
      <vt:variant>
        <vt:i4>5</vt:i4>
      </vt:variant>
      <vt:variant>
        <vt:lpwstr>mailto:viki.wright@renishaw.com</vt:lpwstr>
      </vt:variant>
      <vt:variant>
        <vt:lpwstr/>
      </vt:variant>
      <vt:variant>
        <vt:i4>4915282</vt:i4>
      </vt:variant>
      <vt:variant>
        <vt:i4>0</vt:i4>
      </vt:variant>
      <vt:variant>
        <vt:i4>0</vt:i4>
      </vt:variant>
      <vt:variant>
        <vt:i4>5</vt:i4>
      </vt:variant>
      <vt:variant>
        <vt:lpwstr>http://www.renishaw.com/raman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Efficiently using the sun's energy</dc:title>
  <dc:subject/>
  <dc:creator>Alan Brooker</dc:creator>
  <cp:keywords/>
  <dc:description>Final version</dc:description>
  <cp:lastModifiedBy>kh0996</cp:lastModifiedBy>
  <cp:revision>2</cp:revision>
  <cp:lastPrinted>2011-01-27T12:52:00Z</cp:lastPrinted>
  <dcterms:created xsi:type="dcterms:W3CDTF">2011-04-07T14:48:00Z</dcterms:created>
  <dcterms:modified xsi:type="dcterms:W3CDTF">2011-04-07T14:48:00Z</dcterms:modified>
</cp:coreProperties>
</file>